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490B" w14:textId="3CD8285E" w:rsidR="00415523" w:rsidRDefault="00117042" w:rsidP="0041552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bookmarkStart w:id="0" w:name="_GoBack"/>
      <w:proofErr w:type="spellStart"/>
      <w:r w:rsidR="00D977E3" w:rsidRPr="00D977E3">
        <w:rPr>
          <w:b/>
          <w:bCs/>
          <w:sz w:val="22"/>
          <w:szCs w:val="22"/>
        </w:rPr>
        <w:t>Regret</w:t>
      </w:r>
      <w:proofErr w:type="spellEnd"/>
      <w:r w:rsidR="00D977E3" w:rsidRPr="00D977E3">
        <w:rPr>
          <w:b/>
          <w:bCs/>
          <w:sz w:val="22"/>
          <w:szCs w:val="22"/>
        </w:rPr>
        <w:t xml:space="preserve">. 1 for market </w:t>
      </w:r>
      <w:proofErr w:type="spellStart"/>
      <w:r w:rsidR="00D977E3" w:rsidRPr="00D977E3">
        <w:rPr>
          <w:b/>
          <w:bCs/>
          <w:sz w:val="22"/>
          <w:szCs w:val="22"/>
        </w:rPr>
        <w:t>research</w:t>
      </w:r>
      <w:proofErr w:type="spellEnd"/>
      <w:r w:rsidR="00D977E3" w:rsidRPr="00D977E3">
        <w:rPr>
          <w:b/>
          <w:bCs/>
          <w:sz w:val="22"/>
          <w:szCs w:val="22"/>
        </w:rPr>
        <w:t xml:space="preserve"> no. 1</w:t>
      </w:r>
      <w:r w:rsidR="00FA787E">
        <w:rPr>
          <w:b/>
          <w:bCs/>
          <w:sz w:val="22"/>
          <w:szCs w:val="22"/>
        </w:rPr>
        <w:t>92</w:t>
      </w:r>
      <w:r w:rsidR="00D977E3" w:rsidRPr="00D977E3">
        <w:rPr>
          <w:b/>
          <w:bCs/>
          <w:sz w:val="22"/>
          <w:szCs w:val="22"/>
        </w:rPr>
        <w:t>/2024</w:t>
      </w:r>
      <w:bookmarkEnd w:id="0"/>
    </w:p>
    <w:p w14:paraId="4B917A03" w14:textId="77777777" w:rsidR="00415523" w:rsidRDefault="00415523" w:rsidP="0041552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3656B9AB" w14:textId="49B5E4B1" w:rsidR="00606613" w:rsidRPr="008116B0" w:rsidRDefault="00D977E3" w:rsidP="00D977E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OFFER FORM</w:t>
      </w:r>
    </w:p>
    <w:p w14:paraId="5EBFE169" w14:textId="2137CB0C" w:rsidR="00415523" w:rsidRDefault="00D977E3" w:rsidP="002779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to market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no. 1</w:t>
      </w:r>
      <w:r w:rsidR="00FA787E">
        <w:rPr>
          <w:rFonts w:ascii="Times New Roman" w:hAnsi="Times New Roman" w:cs="Times New Roman"/>
          <w:sz w:val="22"/>
          <w:szCs w:val="22"/>
        </w:rPr>
        <w:t>92</w:t>
      </w:r>
      <w:r w:rsidRPr="00D977E3">
        <w:rPr>
          <w:rFonts w:ascii="Times New Roman" w:hAnsi="Times New Roman" w:cs="Times New Roman"/>
          <w:sz w:val="22"/>
          <w:szCs w:val="22"/>
        </w:rPr>
        <w:t xml:space="preserve">/2024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purchase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reagents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diagnostic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kits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specified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Parts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1 to 7 as part of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project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"Design and development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a "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" I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perform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the order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accordance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conditions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deadlines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included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the order:</w:t>
      </w:r>
    </w:p>
    <w:p w14:paraId="747547AD" w14:textId="77777777" w:rsidR="00415523" w:rsidRDefault="00415523" w:rsidP="002779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AE9391" w14:textId="2CBEB737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CONTRACTOR DETAILS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6613" w:rsidRPr="008116B0" w14:paraId="5480EF1D" w14:textId="77777777" w:rsidTr="008907A4">
        <w:tc>
          <w:tcPr>
            <w:tcW w:w="3114" w:type="dxa"/>
          </w:tcPr>
          <w:p w14:paraId="68DA1A52" w14:textId="11BEEBF1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02" w:type="dxa"/>
          </w:tcPr>
          <w:p w14:paraId="5312826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86C0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217079F" w14:textId="77777777" w:rsidTr="008907A4">
        <w:tc>
          <w:tcPr>
            <w:tcW w:w="3114" w:type="dxa"/>
          </w:tcPr>
          <w:p w14:paraId="1D81BD6F" w14:textId="672CF951" w:rsidR="00606613" w:rsidRPr="008116B0" w:rsidRDefault="00D977E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902" w:type="dxa"/>
          </w:tcPr>
          <w:p w14:paraId="4101652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9056E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DAF4D14" w14:textId="77777777" w:rsidTr="008907A4">
        <w:tc>
          <w:tcPr>
            <w:tcW w:w="3114" w:type="dxa"/>
          </w:tcPr>
          <w:p w14:paraId="2971808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299C43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DBEF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AC8B265" w14:textId="77777777" w:rsidTr="008907A4">
        <w:tc>
          <w:tcPr>
            <w:tcW w:w="3114" w:type="dxa"/>
          </w:tcPr>
          <w:p w14:paraId="489C88D3" w14:textId="77777777" w:rsidR="00D977E3" w:rsidRPr="00D977E3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02308D82" w14:textId="3839D16F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902" w:type="dxa"/>
          </w:tcPr>
          <w:p w14:paraId="3461D779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F2D8B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CABE31F" w14:textId="77777777" w:rsidTr="008907A4">
        <w:tc>
          <w:tcPr>
            <w:tcW w:w="3114" w:type="dxa"/>
          </w:tcPr>
          <w:p w14:paraId="7BBF0C78" w14:textId="77777777" w:rsidR="00D977E3" w:rsidRPr="00D977E3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4B54A013" w14:textId="6B4E436A" w:rsidR="00606613" w:rsidRPr="008116B0" w:rsidRDefault="00D977E3" w:rsidP="00D97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FB7827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C3994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F95CB77" w14:textId="6DF3EB20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1559"/>
        <w:gridCol w:w="1446"/>
        <w:gridCol w:w="1121"/>
      </w:tblGrid>
      <w:tr w:rsidR="00FA787E" w:rsidRPr="00702E54" w14:paraId="690E1C7C" w14:textId="77777777" w:rsidTr="007704D0">
        <w:tc>
          <w:tcPr>
            <w:tcW w:w="5070" w:type="dxa"/>
          </w:tcPr>
          <w:p w14:paraId="7A4D599F" w14:textId="733B2959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  <w:r w:rsidRPr="00FA787E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"/>
            </w: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47431E2" w14:textId="6B89562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446" w:type="dxa"/>
          </w:tcPr>
          <w:p w14:paraId="78AA6E29" w14:textId="179C220F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Gross </w:t>
            </w:r>
            <w:proofErr w:type="spellStart"/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941" w:type="dxa"/>
          </w:tcPr>
          <w:p w14:paraId="3D510A8A" w14:textId="4955614B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A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Currency</w:t>
            </w:r>
            <w:proofErr w:type="spellEnd"/>
          </w:p>
        </w:tc>
      </w:tr>
      <w:tr w:rsidR="00FA787E" w:rsidRPr="00702E54" w14:paraId="5DFCE927" w14:textId="77777777" w:rsidTr="007704D0">
        <w:trPr>
          <w:trHeight w:val="419"/>
        </w:trPr>
        <w:tc>
          <w:tcPr>
            <w:tcW w:w="5070" w:type="dxa"/>
          </w:tcPr>
          <w:p w14:paraId="6F014367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SPE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columns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(2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packages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of 200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pieces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with the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following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parameters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1E83BDC8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SPE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polymer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bed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3F1462C5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grain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size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33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μm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0C1DF37D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pore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size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85A;</w:t>
            </w:r>
          </w:p>
          <w:p w14:paraId="7412C6AB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various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interaction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mechanisms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(pi-pi,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hydrogen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bonding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dipole-dipole,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hydrophobic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interaction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</w:p>
          <w:p w14:paraId="0F5C7A2C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resistance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1-14;</w:t>
            </w:r>
          </w:p>
          <w:p w14:paraId="69C79AC3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polymer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modified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2-pyrrolidone ligand;</w:t>
            </w:r>
          </w:p>
          <w:p w14:paraId="29890E32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bed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mass 30 mg;</w:t>
            </w:r>
          </w:p>
          <w:p w14:paraId="244CE245" w14:textId="09F26876" w:rsidR="00FA787E" w:rsidRPr="00702E54" w:rsidRDefault="00FA787E" w:rsidP="00FA78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column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volume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49135DA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CBBC4B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0369C1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A787E" w:rsidRPr="00702E54" w14:paraId="3F2DC04F" w14:textId="77777777" w:rsidTr="007704D0">
        <w:trPr>
          <w:trHeight w:val="419"/>
        </w:trPr>
        <w:tc>
          <w:tcPr>
            <w:tcW w:w="5070" w:type="dxa"/>
          </w:tcPr>
          <w:p w14:paraId="0D31C758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Chromatography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column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: 1.7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um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, 110x2.1 mm (in a set with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three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pieces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pre-columns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for UHPLC) - 1 piece with the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following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parameters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9B93BC8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filling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C18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organosilica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ethylene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cross-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linking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14:paraId="62374610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core-shell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shell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layer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0.23um),  </w:t>
            </w:r>
          </w:p>
          <w:p w14:paraId="7D87CEEB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column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housing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made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titanium-coated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steel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E19F7EB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resistance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1-12,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pore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size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100A,  </w:t>
            </w:r>
          </w:p>
          <w:p w14:paraId="2548D79A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area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m2/g 200,  </w:t>
            </w:r>
          </w:p>
          <w:p w14:paraId="7683F1A1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carbon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coverage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rate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11%,  </w:t>
            </w:r>
          </w:p>
          <w:p w14:paraId="3ED9A0A7" w14:textId="77777777" w:rsidR="00FA787E" w:rsidRPr="00FA787E" w:rsidRDefault="00FA787E" w:rsidP="00FA78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pressure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resistance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1050 Bar,  </w:t>
            </w:r>
          </w:p>
          <w:p w14:paraId="73452C4B" w14:textId="3DF5078D" w:rsidR="00FA787E" w:rsidRPr="00702E54" w:rsidRDefault="00FA787E" w:rsidP="00FA787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temperature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resistance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  <w:proofErr w:type="spellEnd"/>
            <w:r w:rsidRPr="00FA787E">
              <w:rPr>
                <w:rFonts w:ascii="Times New Roman" w:hAnsi="Times New Roman" w:cs="Times New Roman"/>
                <w:sz w:val="22"/>
                <w:szCs w:val="22"/>
              </w:rPr>
              <w:t xml:space="preserve"> to 60C</w:t>
            </w:r>
          </w:p>
        </w:tc>
        <w:tc>
          <w:tcPr>
            <w:tcW w:w="1559" w:type="dxa"/>
          </w:tcPr>
          <w:p w14:paraId="3FC13CF8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4CDC85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6B4BFC4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A787E" w:rsidRPr="00702E54" w14:paraId="1751A426" w14:textId="77777777" w:rsidTr="007704D0">
        <w:trPr>
          <w:trHeight w:val="419"/>
        </w:trPr>
        <w:tc>
          <w:tcPr>
            <w:tcW w:w="5070" w:type="dxa"/>
          </w:tcPr>
          <w:p w14:paraId="40B4ADB6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Mitoxantrone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60 mg x 4</w:t>
            </w:r>
          </w:p>
          <w:p w14:paraId="6E790624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CAS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number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: 70476-82-3</w:t>
            </w:r>
          </w:p>
          <w:p w14:paraId="33ED89EA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molecular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weight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517.40 g/mol</w:t>
            </w:r>
          </w:p>
          <w:p w14:paraId="3AD0B325" w14:textId="77777777" w:rsidR="00FA787E" w:rsidRPr="00FA787E" w:rsidRDefault="00FA787E" w:rsidP="00FA787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tagged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content</w:t>
            </w:r>
            <w:proofErr w:type="spellEnd"/>
          </w:p>
          <w:p w14:paraId="14FDFDE9" w14:textId="737563D0" w:rsidR="00FA787E" w:rsidRPr="00702E54" w:rsidRDefault="00FA787E" w:rsidP="00FA78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specific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expiration</w:t>
            </w:r>
            <w:proofErr w:type="spellEnd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87E">
              <w:rPr>
                <w:rFonts w:ascii="Times New Roman" w:eastAsia="Times New Roman" w:hAnsi="Times New Roman" w:cs="Times New Roman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559" w:type="dxa"/>
          </w:tcPr>
          <w:p w14:paraId="6F028013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F84E17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9D8A57E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A787E" w:rsidRPr="00702E54" w14:paraId="294E85ED" w14:textId="77777777" w:rsidTr="007704D0">
        <w:trPr>
          <w:trHeight w:val="419"/>
        </w:trPr>
        <w:tc>
          <w:tcPr>
            <w:tcW w:w="5070" w:type="dxa"/>
          </w:tcPr>
          <w:p w14:paraId="32130352" w14:textId="77777777" w:rsidR="00FA787E" w:rsidRPr="00702E54" w:rsidRDefault="00FA787E" w:rsidP="007704D0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Emetine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E733F80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57DBC1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396552E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A787E" w:rsidRPr="00702E54" w14:paraId="5E89D489" w14:textId="77777777" w:rsidTr="007704D0">
        <w:trPr>
          <w:trHeight w:val="419"/>
        </w:trPr>
        <w:tc>
          <w:tcPr>
            <w:tcW w:w="5070" w:type="dxa"/>
          </w:tcPr>
          <w:p w14:paraId="4474A220" w14:textId="6B826684" w:rsidR="00FA787E" w:rsidRPr="00702E54" w:rsidRDefault="00FA787E" w:rsidP="007704D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SUM:</w:t>
            </w:r>
          </w:p>
        </w:tc>
        <w:tc>
          <w:tcPr>
            <w:tcW w:w="1559" w:type="dxa"/>
          </w:tcPr>
          <w:p w14:paraId="497C74F9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A05C02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F6939E" w14:textId="77777777" w:rsidR="00FA787E" w:rsidRPr="00702E54" w:rsidRDefault="00FA787E" w:rsidP="007704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435CB1" w14:textId="11076A92" w:rsidR="00606613" w:rsidRPr="008116B0" w:rsidRDefault="00D977E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BIDDER'S STATEMENTS</w:t>
      </w:r>
    </w:p>
    <w:p w14:paraId="7F01D075" w14:textId="0AD41799" w:rsidR="00ED77D0" w:rsidRPr="008116B0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capital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personal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connections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between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me and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Party.</w:t>
      </w:r>
    </w:p>
    <w:p w14:paraId="3A056F2A" w14:textId="77777777" w:rsidR="00D977E3" w:rsidRPr="00D977E3" w:rsidRDefault="00D977E3" w:rsidP="00D977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grounds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exclusion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from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proceedings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pursuant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Art. 7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Act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April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13, 2022 on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special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solutions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72AE092" w14:textId="77777777" w:rsidR="00D977E3" w:rsidRDefault="00D977E3" w:rsidP="00D977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in the field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counteracting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support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aggression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against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Ukraine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protecting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national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security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Journal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Laws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item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835)</w:t>
      </w:r>
    </w:p>
    <w:p w14:paraId="0F5C094F" w14:textId="77777777" w:rsidR="00D977E3" w:rsidRPr="00D977E3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selection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my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/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not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if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applicable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)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result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in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Party's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(in the event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circumstances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referred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please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name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type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goods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whose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lead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creation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value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without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amounts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).</w:t>
      </w:r>
    </w:p>
    <w:p w14:paraId="61829076" w14:textId="4461E1DC" w:rsidR="00826746" w:rsidRPr="00415523" w:rsidRDefault="00D977E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form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true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was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with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full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consequences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misleading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Party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>.</w:t>
      </w:r>
    </w:p>
    <w:p w14:paraId="2BA226A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302BBE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7AD93B2" w14:textId="57CC2F72" w:rsidR="00D172CF" w:rsidRPr="008116B0" w:rsidRDefault="00D977E3" w:rsidP="00D977E3">
      <w:pPr>
        <w:spacing w:line="360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legible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signature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bidder</w:t>
      </w:r>
      <w:proofErr w:type="spellEnd"/>
    </w:p>
    <w:p w14:paraId="6B62F1B3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8AC9" w14:textId="77777777" w:rsidR="00A94187" w:rsidRDefault="00A94187">
      <w:r>
        <w:separator/>
      </w:r>
    </w:p>
  </w:endnote>
  <w:endnote w:type="continuationSeparator" w:id="0">
    <w:p w14:paraId="1C6B2B40" w14:textId="77777777" w:rsidR="00A94187" w:rsidRDefault="00A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649841BE" w14:textId="77777777" w:rsidR="005A02C7" w:rsidRDefault="005A02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21983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A783" w14:textId="77777777" w:rsidR="00A94187" w:rsidRDefault="00A94187">
      <w:r>
        <w:separator/>
      </w:r>
    </w:p>
  </w:footnote>
  <w:footnote w:type="continuationSeparator" w:id="0">
    <w:p w14:paraId="3513BF54" w14:textId="77777777" w:rsidR="00A94187" w:rsidRDefault="00A94187">
      <w:r>
        <w:continuationSeparator/>
      </w:r>
    </w:p>
  </w:footnote>
  <w:footnote w:id="1">
    <w:p w14:paraId="68AB7830" w14:textId="61D68D61" w:rsidR="00FA787E" w:rsidRDefault="00FA787E" w:rsidP="00FA78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415523">
        <w:rPr>
          <w:i/>
        </w:rPr>
        <w:t>If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you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submit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an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offer</w:t>
      </w:r>
      <w:proofErr w:type="spellEnd"/>
      <w:r w:rsidRPr="00415523">
        <w:rPr>
          <w:i/>
        </w:rPr>
        <w:t xml:space="preserve"> for </w:t>
      </w:r>
      <w:proofErr w:type="spellStart"/>
      <w:r w:rsidRPr="00415523">
        <w:rPr>
          <w:i/>
        </w:rPr>
        <w:t>only</w:t>
      </w:r>
      <w:proofErr w:type="spellEnd"/>
      <w:r w:rsidRPr="00415523">
        <w:rPr>
          <w:i/>
        </w:rPr>
        <w:t xml:space="preserve"> one part, </w:t>
      </w:r>
      <w:proofErr w:type="spellStart"/>
      <w:r w:rsidRPr="00415523">
        <w:rPr>
          <w:i/>
        </w:rPr>
        <w:t>please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indicate</w:t>
      </w:r>
      <w:proofErr w:type="spellEnd"/>
      <w:r w:rsidRPr="00415523">
        <w:rPr>
          <w:i/>
        </w:rPr>
        <w:t xml:space="preserve"> the part of </w:t>
      </w:r>
      <w:proofErr w:type="spellStart"/>
      <w:r w:rsidRPr="00415523">
        <w:rPr>
          <w:i/>
        </w:rPr>
        <w:t>your</w:t>
      </w:r>
      <w:proofErr w:type="spellEnd"/>
      <w:r w:rsidRPr="00415523">
        <w:rPr>
          <w:i/>
        </w:rPr>
        <w:t xml:space="preserve"> choice and </w:t>
      </w:r>
      <w:proofErr w:type="spellStart"/>
      <w:r w:rsidRPr="00415523">
        <w:rPr>
          <w:i/>
        </w:rPr>
        <w:t>complete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it</w:t>
      </w:r>
      <w:proofErr w:type="spellEnd"/>
      <w:r w:rsidRPr="00415523">
        <w:rPr>
          <w:i/>
        </w:rPr>
        <w:t xml:space="preserve">, </w:t>
      </w:r>
      <w:proofErr w:type="spellStart"/>
      <w:r w:rsidRPr="00415523">
        <w:rPr>
          <w:i/>
        </w:rPr>
        <w:t>leaving</w:t>
      </w:r>
      <w:proofErr w:type="spellEnd"/>
      <w:r w:rsidRPr="00415523">
        <w:rPr>
          <w:i/>
        </w:rPr>
        <w:t xml:space="preserve"> the </w:t>
      </w:r>
      <w:proofErr w:type="spellStart"/>
      <w:r w:rsidRPr="00415523">
        <w:rPr>
          <w:i/>
        </w:rPr>
        <w:t>subsequent</w:t>
      </w:r>
      <w:proofErr w:type="spellEnd"/>
      <w:r w:rsidRPr="00415523">
        <w:rPr>
          <w:i/>
        </w:rPr>
        <w:t xml:space="preserve"> </w:t>
      </w:r>
      <w:proofErr w:type="spellStart"/>
      <w:r w:rsidRPr="00415523">
        <w:rPr>
          <w:i/>
        </w:rPr>
        <w:t>fields</w:t>
      </w:r>
      <w:proofErr w:type="spellEnd"/>
      <w:r w:rsidRPr="00415523">
        <w:rPr>
          <w:i/>
        </w:rPr>
        <w:t xml:space="preserve"> blank.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FEF7D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6F4C"/>
    <w:multiLevelType w:val="hybridMultilevel"/>
    <w:tmpl w:val="0F4EA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127"/>
    <w:multiLevelType w:val="hybridMultilevel"/>
    <w:tmpl w:val="F1FE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1CF5"/>
    <w:multiLevelType w:val="hybridMultilevel"/>
    <w:tmpl w:val="51BAD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A7442"/>
    <w:multiLevelType w:val="hybridMultilevel"/>
    <w:tmpl w:val="7A1CE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411FBA"/>
    <w:multiLevelType w:val="hybridMultilevel"/>
    <w:tmpl w:val="D76E5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1"/>
  </w:num>
  <w:num w:numId="5">
    <w:abstractNumId w:val="5"/>
  </w:num>
  <w:num w:numId="6">
    <w:abstractNumId w:val="4"/>
  </w:num>
  <w:num w:numId="7">
    <w:abstractNumId w:val="14"/>
  </w:num>
  <w:num w:numId="8">
    <w:abstractNumId w:val="23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6"/>
  </w:num>
  <w:num w:numId="17">
    <w:abstractNumId w:val="11"/>
  </w:num>
  <w:num w:numId="18">
    <w:abstractNumId w:val="2"/>
  </w:num>
  <w:num w:numId="19">
    <w:abstractNumId w:val="17"/>
  </w:num>
  <w:num w:numId="20">
    <w:abstractNumId w:val="13"/>
  </w:num>
  <w:num w:numId="21">
    <w:abstractNumId w:val="0"/>
  </w:num>
  <w:num w:numId="22">
    <w:abstractNumId w:val="3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22D83"/>
    <w:rsid w:val="000A61D3"/>
    <w:rsid w:val="000C6773"/>
    <w:rsid w:val="000D21F3"/>
    <w:rsid w:val="00117042"/>
    <w:rsid w:val="001D2BF7"/>
    <w:rsid w:val="00263D3A"/>
    <w:rsid w:val="0027793A"/>
    <w:rsid w:val="002C4D9F"/>
    <w:rsid w:val="003333F9"/>
    <w:rsid w:val="00391F45"/>
    <w:rsid w:val="003B4877"/>
    <w:rsid w:val="003E2F20"/>
    <w:rsid w:val="00404113"/>
    <w:rsid w:val="00415523"/>
    <w:rsid w:val="00435762"/>
    <w:rsid w:val="004602C8"/>
    <w:rsid w:val="004972F7"/>
    <w:rsid w:val="004A10D9"/>
    <w:rsid w:val="004E7974"/>
    <w:rsid w:val="00560E48"/>
    <w:rsid w:val="005A02C7"/>
    <w:rsid w:val="005F3667"/>
    <w:rsid w:val="00606613"/>
    <w:rsid w:val="00695912"/>
    <w:rsid w:val="007F668F"/>
    <w:rsid w:val="007F7DB7"/>
    <w:rsid w:val="008116B0"/>
    <w:rsid w:val="0082297C"/>
    <w:rsid w:val="00826746"/>
    <w:rsid w:val="0083187A"/>
    <w:rsid w:val="00834B44"/>
    <w:rsid w:val="00886457"/>
    <w:rsid w:val="00926713"/>
    <w:rsid w:val="00941DE0"/>
    <w:rsid w:val="0095621E"/>
    <w:rsid w:val="0099171E"/>
    <w:rsid w:val="00A069D0"/>
    <w:rsid w:val="00A72404"/>
    <w:rsid w:val="00A94187"/>
    <w:rsid w:val="00AD0F85"/>
    <w:rsid w:val="00B627EB"/>
    <w:rsid w:val="00B8683B"/>
    <w:rsid w:val="00C31A9B"/>
    <w:rsid w:val="00CA64EF"/>
    <w:rsid w:val="00D172CF"/>
    <w:rsid w:val="00D470EA"/>
    <w:rsid w:val="00D62684"/>
    <w:rsid w:val="00D977E3"/>
    <w:rsid w:val="00E22BD0"/>
    <w:rsid w:val="00E42C26"/>
    <w:rsid w:val="00E52ACB"/>
    <w:rsid w:val="00ED77D0"/>
    <w:rsid w:val="00FA787E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E384BB7"/>
    <w:rsid w:val="2F26F042"/>
    <w:rsid w:val="348AD5BA"/>
    <w:rsid w:val="3A8B709E"/>
    <w:rsid w:val="41DD67C7"/>
    <w:rsid w:val="4257B15C"/>
    <w:rsid w:val="4B85722B"/>
    <w:rsid w:val="4D3A6420"/>
    <w:rsid w:val="51C6C090"/>
    <w:rsid w:val="5DF2DEC4"/>
    <w:rsid w:val="5F38CF50"/>
    <w:rsid w:val="621854B7"/>
    <w:rsid w:val="646CCF6B"/>
    <w:rsid w:val="67537EFB"/>
    <w:rsid w:val="68C5F4F4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87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8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87E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42</cp:revision>
  <dcterms:created xsi:type="dcterms:W3CDTF">2024-12-03T07:49:00Z</dcterms:created>
  <dcterms:modified xsi:type="dcterms:W3CDTF">2024-12-13T08:45:00Z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