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053DC4B7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63595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990E7A7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F24C76" w:rsidRPr="0047537E">
        <w:rPr>
          <w:rFonts w:ascii="Times New Roman" w:hAnsi="Times New Roman" w:cs="Times New Roman"/>
          <w:bCs/>
          <w:sz w:val="22"/>
          <w:szCs w:val="22"/>
        </w:rPr>
        <w:t>1</w:t>
      </w:r>
      <w:r w:rsidR="00635953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635953">
        <w:rPr>
          <w:rFonts w:ascii="Times New Roman" w:hAnsi="Times New Roman" w:cs="Times New Roman"/>
          <w:sz w:val="22"/>
          <w:szCs w:val="22"/>
        </w:rPr>
        <w:t>testów do monitorowania żywotności komórek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059A1A1B" w:rsidR="00C13433" w:rsidRPr="00550189" w:rsidRDefault="0063595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59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Testy do monitorowania żywotności komórek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74D52D18" w:rsidR="00EB63D6" w:rsidRPr="00E551D7" w:rsidRDefault="0063595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51D7">
              <w:rPr>
                <w:rFonts w:ascii="Times New Roman" w:hAnsi="Times New Roman" w:cs="Times New Roman"/>
                <w:sz w:val="22"/>
                <w:szCs w:val="22"/>
              </w:rPr>
              <w:t>Test do monitorowania żywotność komórek w czasie rzeczywistym, w sposób ciągły do 72 godzin. Mierzący potencjał redukcyjny komórek. Test oparty o luminescencję. Nielityczny. Opcja multipleksowania z przeżyciowymi testami opartymi o fluorescencję. 4 zestawy na 1000 reakcji.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63D6" w:rsidRPr="00550189" w14:paraId="7AFB4E71" w14:textId="77777777" w:rsidTr="00635953">
        <w:trPr>
          <w:trHeight w:val="419"/>
        </w:trPr>
        <w:tc>
          <w:tcPr>
            <w:tcW w:w="3964" w:type="dxa"/>
          </w:tcPr>
          <w:p w14:paraId="444A1180" w14:textId="72FDA000" w:rsidR="00EB63D6" w:rsidRPr="00E551D7" w:rsidRDefault="0063595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51D7">
              <w:rPr>
                <w:rFonts w:ascii="Times New Roman" w:hAnsi="Times New Roman" w:cs="Times New Roman"/>
                <w:sz w:val="22"/>
                <w:szCs w:val="22"/>
              </w:rPr>
              <w:t xml:space="preserve">Test do mierzenia śmierci komórkowej poprzez ocenę poziomu integralności błony komórkowej w czasie rzeczywistym do 72 h. Oparty o fluorescencję. Możliwość odczytu end-point. Możliwość multipleksowania z testami opartymi o luminescencję. 4 x 100 </w:t>
            </w:r>
            <w:proofErr w:type="spellStart"/>
            <w:r w:rsidRPr="00E551D7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2127" w:type="dxa"/>
          </w:tcPr>
          <w:p w14:paraId="688E23A7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FABACD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DD0AFC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63D6" w:rsidRPr="00550189" w14:paraId="6CC831D3" w14:textId="77777777" w:rsidTr="00635953">
        <w:trPr>
          <w:trHeight w:val="419"/>
        </w:trPr>
        <w:tc>
          <w:tcPr>
            <w:tcW w:w="3964" w:type="dxa"/>
          </w:tcPr>
          <w:p w14:paraId="0C9F65EC" w14:textId="06FF785A" w:rsidR="00EB63D6" w:rsidRPr="00E551D7" w:rsidRDefault="0063595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51D7">
              <w:rPr>
                <w:rFonts w:ascii="Times New Roman" w:hAnsi="Times New Roman" w:cs="Times New Roman"/>
                <w:sz w:val="22"/>
                <w:szCs w:val="22"/>
              </w:rPr>
              <w:t xml:space="preserve">Test cytotoksyczności działający w oparciu o pomiar aktywności LDH. Test bioluminescencyjny. 4 x 10 </w:t>
            </w:r>
            <w:proofErr w:type="spellStart"/>
            <w:r w:rsidRPr="00E551D7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E551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5A15CC40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4991F6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35953" w:rsidRPr="00550189" w14:paraId="54DD43EA" w14:textId="77777777" w:rsidTr="00635953">
        <w:trPr>
          <w:trHeight w:val="419"/>
        </w:trPr>
        <w:tc>
          <w:tcPr>
            <w:tcW w:w="3964" w:type="dxa"/>
          </w:tcPr>
          <w:p w14:paraId="4499FB84" w14:textId="50838A99" w:rsidR="00635953" w:rsidRPr="00E551D7" w:rsidRDefault="0063595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51D7">
              <w:rPr>
                <w:rFonts w:ascii="Times New Roman" w:hAnsi="Times New Roman" w:cs="Times New Roman"/>
                <w:sz w:val="22"/>
                <w:szCs w:val="22"/>
              </w:rPr>
              <w:t>MTS [3-(4,5-dimetylotiazol-2-ilo)-5-(3-karboksymetoksyfenylo)-2-(4-sulfofenylo)-2H-tetrazolium; sól wewnętrzna], w proszku, 2 gramy</w:t>
            </w:r>
          </w:p>
        </w:tc>
        <w:tc>
          <w:tcPr>
            <w:tcW w:w="2127" w:type="dxa"/>
          </w:tcPr>
          <w:p w14:paraId="6252CF71" w14:textId="77777777" w:rsidR="00635953" w:rsidRPr="00550189" w:rsidRDefault="0063595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ED0FC0" w14:textId="77777777" w:rsidR="00635953" w:rsidRPr="00550189" w:rsidRDefault="0063595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81E93B" w14:textId="77777777" w:rsidR="00635953" w:rsidRPr="00550189" w:rsidRDefault="0063595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Default="00A93E2B" w:rsidP="00A93E2B">
      <w:pPr>
        <w:rPr>
          <w:rFonts w:cstheme="minorHAnsi"/>
        </w:rPr>
      </w:pPr>
    </w:p>
    <w:p w14:paraId="5209DF41" w14:textId="77777777" w:rsidR="00E348A9" w:rsidRDefault="00E348A9" w:rsidP="00A93E2B">
      <w:pPr>
        <w:rPr>
          <w:rFonts w:cstheme="minorHAnsi"/>
        </w:rPr>
      </w:pPr>
    </w:p>
    <w:p w14:paraId="631FCECA" w14:textId="77777777" w:rsidR="00E348A9" w:rsidRPr="00E65C1B" w:rsidRDefault="00E348A9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0E6F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F1F7" w14:textId="77777777" w:rsidR="000E6FE4" w:rsidRDefault="000E6FE4" w:rsidP="00592469">
      <w:r>
        <w:separator/>
      </w:r>
    </w:p>
  </w:endnote>
  <w:endnote w:type="continuationSeparator" w:id="0">
    <w:p w14:paraId="77B89B6F" w14:textId="77777777" w:rsidR="000E6FE4" w:rsidRDefault="000E6FE4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9DB1" w14:textId="77777777" w:rsidR="000E6FE4" w:rsidRDefault="000E6FE4" w:rsidP="00592469">
      <w:r>
        <w:separator/>
      </w:r>
    </w:p>
  </w:footnote>
  <w:footnote w:type="continuationSeparator" w:id="0">
    <w:p w14:paraId="5577D60F" w14:textId="77777777" w:rsidR="000E6FE4" w:rsidRDefault="000E6FE4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1"/>
  </w:num>
  <w:num w:numId="2" w16cid:durableId="1247543900">
    <w:abstractNumId w:val="27"/>
  </w:num>
  <w:num w:numId="3" w16cid:durableId="1262299997">
    <w:abstractNumId w:val="24"/>
  </w:num>
  <w:num w:numId="4" w16cid:durableId="245962170">
    <w:abstractNumId w:val="18"/>
  </w:num>
  <w:num w:numId="5" w16cid:durableId="375160147">
    <w:abstractNumId w:val="0"/>
  </w:num>
  <w:num w:numId="6" w16cid:durableId="912659609">
    <w:abstractNumId w:val="25"/>
  </w:num>
  <w:num w:numId="7" w16cid:durableId="85733115">
    <w:abstractNumId w:val="15"/>
  </w:num>
  <w:num w:numId="8" w16cid:durableId="1236474426">
    <w:abstractNumId w:val="22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19"/>
  </w:num>
  <w:num w:numId="12" w16cid:durableId="1124270428">
    <w:abstractNumId w:val="26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7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3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0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0E6FE4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A1EDB"/>
    <w:rsid w:val="002E32BD"/>
    <w:rsid w:val="002F7BC4"/>
    <w:rsid w:val="00310E91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2189"/>
    <w:rsid w:val="008563F4"/>
    <w:rsid w:val="00907ADA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36606"/>
    <w:rsid w:val="00D461B0"/>
    <w:rsid w:val="00D5007B"/>
    <w:rsid w:val="00D6140B"/>
    <w:rsid w:val="00D620A2"/>
    <w:rsid w:val="00D75566"/>
    <w:rsid w:val="00D905D7"/>
    <w:rsid w:val="00DC3012"/>
    <w:rsid w:val="00DC5696"/>
    <w:rsid w:val="00DE4C81"/>
    <w:rsid w:val="00DF493A"/>
    <w:rsid w:val="00E15AB7"/>
    <w:rsid w:val="00E25CCC"/>
    <w:rsid w:val="00E32A35"/>
    <w:rsid w:val="00E348A9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263C8"/>
    <w:rsid w:val="00F354FA"/>
    <w:rsid w:val="00F4143C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2024-03-25T09:33:00Z</dcterms:created>
  <dcterms:modified xsi:type="dcterms:W3CDTF">2024-03-25T09:33:00Z</dcterms:modified>
</cp:coreProperties>
</file>