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94B" w14:textId="3D3B8EEE" w:rsidR="00004CA6" w:rsidRPr="00550189" w:rsidRDefault="00004CA6" w:rsidP="002E32BD">
      <w:pPr>
        <w:rPr>
          <w:rFonts w:ascii="Times New Roman" w:hAnsi="Times New Roman" w:cs="Times New Roman"/>
          <w:bCs/>
          <w:sz w:val="22"/>
          <w:szCs w:val="22"/>
        </w:rPr>
      </w:pPr>
    </w:p>
    <w:p w14:paraId="45924408" w14:textId="47394D9D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550189" w:rsidRPr="0055018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276D37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6D3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276D37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5C75612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76D37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50189" w:rsidRPr="00276D37">
        <w:rPr>
          <w:rFonts w:ascii="Times New Roman" w:hAnsi="Times New Roman" w:cs="Times New Roman"/>
          <w:bCs/>
          <w:sz w:val="22"/>
          <w:szCs w:val="22"/>
        </w:rPr>
        <w:t>6</w:t>
      </w:r>
      <w:r w:rsidRPr="00276D37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276D37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550189" w:rsidRPr="00276D37">
        <w:rPr>
          <w:rFonts w:ascii="Times New Roman" w:hAnsi="Times New Roman" w:cs="Times New Roman"/>
          <w:bCs/>
          <w:sz w:val="22"/>
          <w:szCs w:val="22"/>
        </w:rPr>
        <w:t xml:space="preserve">preparatywno-analitycznego systemu chromatograficznego </w:t>
      </w:r>
      <w:r w:rsidRPr="00276D37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C13433">
        <w:trPr>
          <w:trHeight w:val="419"/>
        </w:trPr>
        <w:tc>
          <w:tcPr>
            <w:tcW w:w="2714" w:type="dxa"/>
          </w:tcPr>
          <w:p w14:paraId="35E196BD" w14:textId="6F9A342F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Preparatywno-analityczny system chromatograficzny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0"/>
        <w:gridCol w:w="4965"/>
        <w:gridCol w:w="2051"/>
      </w:tblGrid>
      <w:tr w:rsidR="002F7BC4" w:rsidRPr="00550189" w14:paraId="47012EE2" w14:textId="77777777" w:rsidTr="00550189">
        <w:tc>
          <w:tcPr>
            <w:tcW w:w="2000" w:type="dxa"/>
            <w:vMerge w:val="restart"/>
          </w:tcPr>
          <w:p w14:paraId="6D06311F" w14:textId="433BBA56" w:rsidR="002F7BC4" w:rsidRPr="00550189" w:rsidRDefault="00550189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Preparatywno-analityczny system chromatograficzny</w:t>
            </w:r>
          </w:p>
        </w:tc>
        <w:tc>
          <w:tcPr>
            <w:tcW w:w="4965" w:type="dxa"/>
          </w:tcPr>
          <w:p w14:paraId="21976EA5" w14:textId="71327AB2" w:rsidR="002F7BC4" w:rsidRPr="00550189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051" w:type="dxa"/>
          </w:tcPr>
          <w:p w14:paraId="497C777F" w14:textId="4523CADB" w:rsidR="002F7BC4" w:rsidRPr="00550189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2F7BC4" w:rsidRPr="00550189" w14:paraId="3ED8D433" w14:textId="77777777" w:rsidTr="00550189">
        <w:tc>
          <w:tcPr>
            <w:tcW w:w="2000" w:type="dxa"/>
            <w:vMerge/>
          </w:tcPr>
          <w:p w14:paraId="6A09BAE7" w14:textId="1AB6B842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69E5606E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1. Oprogramowanie:</w:t>
            </w:r>
          </w:p>
          <w:p w14:paraId="1FB15A71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pełna architektura 64-bitowa</w:t>
            </w:r>
          </w:p>
          <w:p w14:paraId="71E76BE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wewnętrzna, relacyjna baza danych</w:t>
            </w:r>
          </w:p>
          <w:p w14:paraId="5623685D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kontrola dostępu do danych za pomocą systemu haseł</w:t>
            </w:r>
          </w:p>
          <w:p w14:paraId="2767A3E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kontrola uprawnień i restrykcji dla różnych użytkowników</w:t>
            </w:r>
          </w:p>
          <w:p w14:paraId="4E07D93E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możliwość pracy oprogramowania w sieci laboratoryjnej różnej skali</w:t>
            </w:r>
          </w:p>
          <w:p w14:paraId="1E25F0D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dostosowanie formatu wyników i raportów do indywidualnych potrzeb</w:t>
            </w:r>
          </w:p>
          <w:p w14:paraId="30948534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moduł obliczania zanieczyszczeń piku głównego w oprogramowaniu</w:t>
            </w:r>
          </w:p>
          <w:p w14:paraId="7C6774EA" w14:textId="4CC6D85B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komputer odpowiedni do potrzeb systemu chromatograficznego</w:t>
            </w:r>
          </w:p>
        </w:tc>
        <w:tc>
          <w:tcPr>
            <w:tcW w:w="2051" w:type="dxa"/>
          </w:tcPr>
          <w:p w14:paraId="125415E6" w14:textId="2A5C02AF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F7BC4" w:rsidRPr="00550189" w14:paraId="3CC345DD" w14:textId="77777777" w:rsidTr="00550189">
        <w:trPr>
          <w:trHeight w:val="303"/>
        </w:trPr>
        <w:tc>
          <w:tcPr>
            <w:tcW w:w="2000" w:type="dxa"/>
            <w:vMerge/>
          </w:tcPr>
          <w:p w14:paraId="1F51727C" w14:textId="23368D4F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2835120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2. Pompa gradientowa</w:t>
            </w:r>
          </w:p>
          <w:p w14:paraId="1700C14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przepływ co najmniej w zakresie 0,00 – 22,50 ml/min</w:t>
            </w:r>
          </w:p>
          <w:p w14:paraId="13037F8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głowice o objętości 100 i 225 µl</w:t>
            </w:r>
          </w:p>
          <w:p w14:paraId="083F7958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szeregowy układ tłoków</w:t>
            </w:r>
          </w:p>
          <w:p w14:paraId="061ED3A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gradient wysokociśnieniowy dwuskładnikowy</w:t>
            </w:r>
          </w:p>
          <w:p w14:paraId="67AA675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dokładność przepływu nie gorsza ± 1%</w:t>
            </w:r>
          </w:p>
          <w:p w14:paraId="0F4C2F62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precyzja przepływu ≤0,1%RSD</w:t>
            </w:r>
          </w:p>
          <w:p w14:paraId="78C278D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maksymalne ciśnienie nie mniejsze niż 6,000 psi</w:t>
            </w:r>
          </w:p>
          <w:p w14:paraId="57A30A2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 programowane granice ciśnienia</w:t>
            </w:r>
          </w:p>
          <w:p w14:paraId="24C9549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martwa &lt;200 µl</w:t>
            </w:r>
          </w:p>
          <w:p w14:paraId="5ABFA15D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dokładność składu gradientu nie gorsza niż ± 0.5%</w:t>
            </w:r>
          </w:p>
          <w:p w14:paraId="049E4B9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precyzja składu gradientu &lt;0.5% RSD</w:t>
            </w:r>
          </w:p>
          <w:p w14:paraId="47C5F14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automatyczny system mycia tłoków</w:t>
            </w:r>
          </w:p>
          <w:p w14:paraId="0FC56D4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zintegrowany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degazer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dwukanałowy</w:t>
            </w:r>
          </w:p>
          <w:p w14:paraId="23FE4A1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nieokrągłe koła zębate przekładni</w:t>
            </w:r>
          </w:p>
          <w:p w14:paraId="584D913A" w14:textId="6D6DDDAD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możliwość zastosowania uszczelek odpornych na działanie THF</w:t>
            </w:r>
          </w:p>
        </w:tc>
        <w:tc>
          <w:tcPr>
            <w:tcW w:w="2051" w:type="dxa"/>
          </w:tcPr>
          <w:p w14:paraId="6A707598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550189" w14:paraId="161E2A1A" w14:textId="77777777" w:rsidTr="00550189">
        <w:tc>
          <w:tcPr>
            <w:tcW w:w="2000" w:type="dxa"/>
            <w:vMerge/>
          </w:tcPr>
          <w:p w14:paraId="17D1628C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0CFE017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3. Automatyczny podajnik prób</w:t>
            </w:r>
          </w:p>
          <w:p w14:paraId="078B3236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zastrzyku 0-9,999 ml ze skokiem 1ul</w:t>
            </w:r>
          </w:p>
          <w:p w14:paraId="0211FE6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 99 powtórzeń z jednej ampułki</w:t>
            </w:r>
          </w:p>
          <w:p w14:paraId="0758DB5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pętle na 5, 10, 20 i 100 µl</w:t>
            </w:r>
          </w:p>
          <w:p w14:paraId="76E3FF2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pętla preparatywna 500 i 1000 µl</w:t>
            </w:r>
          </w:p>
          <w:p w14:paraId="23C0B535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system kontroli obecności fiolki.</w:t>
            </w:r>
          </w:p>
          <w:p w14:paraId="32F47D68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kaseta na 48 fiolek (2ml) </w:t>
            </w:r>
          </w:p>
          <w:p w14:paraId="687BDFB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kasety na 96 i 384 dołki</w:t>
            </w:r>
          </w:p>
          <w:p w14:paraId="73433125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programowalne objętościowo, automatyczne przemywanie igły pomiędzy wstrzyknięciami</w:t>
            </w:r>
          </w:p>
          <w:p w14:paraId="73C1505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termostat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Peltier'a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na przedziale próbek od 4°C do temperatury niższej o 3°C od temperatury otoczenia</w:t>
            </w:r>
          </w:p>
          <w:p w14:paraId="56BE6136" w14:textId="5A3371F8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metody wstrzykiwania: pełny cykl, napełnienie częściowe, tryb częściowy z napełnieniem igły</w:t>
            </w:r>
          </w:p>
        </w:tc>
        <w:tc>
          <w:tcPr>
            <w:tcW w:w="2051" w:type="dxa"/>
          </w:tcPr>
          <w:p w14:paraId="60A431FA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550189" w14:paraId="2545FDD4" w14:textId="77777777" w:rsidTr="00550189">
        <w:tc>
          <w:tcPr>
            <w:tcW w:w="2000" w:type="dxa"/>
            <w:vMerge/>
          </w:tcPr>
          <w:p w14:paraId="6782AC94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44B566B4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4. Detektor UV/VIS fotodiodowy</w:t>
            </w:r>
          </w:p>
          <w:p w14:paraId="7E31DBFB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detektor UV-Vis fotodiodowy o zakresie długości fali 190 - 800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nm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9D12F28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jedna szerokość szczeliny zapewniająca stałą rozdzielczość widmową 1,2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nm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maksymalną czułość detektora</w:t>
            </w:r>
          </w:p>
          <w:p w14:paraId="490AFEDA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szum detektora 6 x 10 -6 AU, dryf ≤ 1 x 10 -3 AU/h/ºC</w:t>
            </w:r>
          </w:p>
          <w:p w14:paraId="45DFCB8F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długość drogi optycznej celi przepływowej nie większa niż 10 mm</w:t>
            </w:r>
          </w:p>
          <w:p w14:paraId="3591090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analitycznej celi pomiarowej nie większa niż 9,5 µl</w:t>
            </w:r>
          </w:p>
          <w:p w14:paraId="1814812D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długość drogi optycznej dla celi preparatywnej nie większa niż 3 mm</w:t>
            </w:r>
          </w:p>
          <w:p w14:paraId="65AC6C31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preparatywnej celi pomiarowej nie większa niż 18,5 µl</w:t>
            </w:r>
          </w:p>
          <w:p w14:paraId="22BF93A1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jedna lampa deuterowa</w:t>
            </w:r>
          </w:p>
          <w:p w14:paraId="1B23AA7F" w14:textId="5014842C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liczba diod 512</w:t>
            </w:r>
          </w:p>
        </w:tc>
        <w:tc>
          <w:tcPr>
            <w:tcW w:w="2051" w:type="dxa"/>
          </w:tcPr>
          <w:p w14:paraId="42507FDC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550189" w14:paraId="279BB8B5" w14:textId="77777777" w:rsidTr="00550189">
        <w:tc>
          <w:tcPr>
            <w:tcW w:w="2000" w:type="dxa"/>
            <w:vMerge/>
          </w:tcPr>
          <w:p w14:paraId="37F0E57D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3E1F63A7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5. Kolektor frakcji</w:t>
            </w:r>
          </w:p>
          <w:p w14:paraId="553EC513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 xml:space="preserve">- dwa tryby detekcji piku: z wartości sygnału, z nachylenia </w:t>
            </w:r>
            <w:proofErr w:type="spellStart"/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chromatogramu</w:t>
            </w:r>
            <w:proofErr w:type="spellEnd"/>
          </w:p>
          <w:p w14:paraId="641B47B6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kaseta na 120 probówek, możliwość chłodzenia frakcji</w:t>
            </w:r>
          </w:p>
          <w:p w14:paraId="059AFAD8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możliwość implementowania dowolnych pojemników</w:t>
            </w:r>
          </w:p>
          <w:p w14:paraId="2595EF43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cztery tryby zbierania frakcji: czasowy, licznik kropli, objętość, sygnał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zewnętrzny</w:t>
            </w:r>
          </w:p>
          <w:p w14:paraId="04089910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- 9-liniowy wyświetlacz LCD</w:t>
            </w:r>
          </w:p>
          <w:p w14:paraId="58E4A55F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zawór bocznikowy</w:t>
            </w:r>
          </w:p>
          <w:p w14:paraId="2FA0AB20" w14:textId="2E88CDFD" w:rsidR="002F7BC4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programowanie zbierania frakcji niezależnie z kolektora i komputera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oprogramowaniem sterującym</w:t>
            </w:r>
          </w:p>
        </w:tc>
        <w:tc>
          <w:tcPr>
            <w:tcW w:w="2051" w:type="dxa"/>
          </w:tcPr>
          <w:p w14:paraId="41D1C5BD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F001" w14:textId="77777777" w:rsidR="00C53B6B" w:rsidRDefault="00C53B6B" w:rsidP="00592469">
      <w:r>
        <w:separator/>
      </w:r>
    </w:p>
  </w:endnote>
  <w:endnote w:type="continuationSeparator" w:id="0">
    <w:p w14:paraId="383CE31F" w14:textId="77777777" w:rsidR="00C53B6B" w:rsidRDefault="00C53B6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39D8" w14:textId="77777777" w:rsidR="00C53B6B" w:rsidRDefault="00C53B6B" w:rsidP="00592469">
      <w:r>
        <w:separator/>
      </w:r>
    </w:p>
  </w:footnote>
  <w:footnote w:type="continuationSeparator" w:id="0">
    <w:p w14:paraId="064243E8" w14:textId="77777777" w:rsidR="00C53B6B" w:rsidRDefault="00C53B6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2785">
    <w:abstractNumId w:val="2"/>
  </w:num>
  <w:num w:numId="2" w16cid:durableId="413555104">
    <w:abstractNumId w:val="5"/>
  </w:num>
  <w:num w:numId="3" w16cid:durableId="1524171528">
    <w:abstractNumId w:val="3"/>
  </w:num>
  <w:num w:numId="4" w16cid:durableId="2097049026">
    <w:abstractNumId w:val="1"/>
  </w:num>
  <w:num w:numId="5" w16cid:durableId="1809592931">
    <w:abstractNumId w:val="0"/>
  </w:num>
  <w:num w:numId="6" w16cid:durableId="646133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11D31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76D37"/>
    <w:rsid w:val="002A1EDB"/>
    <w:rsid w:val="002E32BD"/>
    <w:rsid w:val="002F7BC4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50189"/>
    <w:rsid w:val="005854E5"/>
    <w:rsid w:val="00592469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F0A34"/>
    <w:rsid w:val="007F7AD8"/>
    <w:rsid w:val="00821FB6"/>
    <w:rsid w:val="00836BF3"/>
    <w:rsid w:val="00923CB3"/>
    <w:rsid w:val="009318F3"/>
    <w:rsid w:val="009720F2"/>
    <w:rsid w:val="00986363"/>
    <w:rsid w:val="009B2DD5"/>
    <w:rsid w:val="00A07FEE"/>
    <w:rsid w:val="00A73373"/>
    <w:rsid w:val="00A82FB2"/>
    <w:rsid w:val="00B11EDD"/>
    <w:rsid w:val="00BA0D3D"/>
    <w:rsid w:val="00BD1D42"/>
    <w:rsid w:val="00BD6A48"/>
    <w:rsid w:val="00BE247F"/>
    <w:rsid w:val="00C13433"/>
    <w:rsid w:val="00C53B6B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B450E"/>
    <w:rsid w:val="00DC3012"/>
    <w:rsid w:val="00DC5696"/>
    <w:rsid w:val="00DE4C81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DFF4-8A92-4DCD-95B6-1C56799E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2023-12-04T08:45:00Z</dcterms:created>
  <dcterms:modified xsi:type="dcterms:W3CDTF">2023-12-04T08:45:00Z</dcterms:modified>
</cp:coreProperties>
</file>